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A9" w:rsidRPr="001B060F" w:rsidRDefault="00F65D5D">
      <w:r w:rsidRPr="001B060F">
        <w:rPr>
          <w:b/>
        </w:rPr>
        <w:t>DSU Faculty Senate</w:t>
      </w:r>
      <w:r w:rsidRPr="001B060F">
        <w:rPr>
          <w:b/>
        </w:rPr>
        <w:tab/>
      </w:r>
      <w:r w:rsidR="00512433">
        <w:rPr>
          <w:b/>
        </w:rPr>
        <w:t xml:space="preserve"> October 24</w:t>
      </w:r>
      <w:r w:rsidR="00822A45">
        <w:rPr>
          <w:b/>
        </w:rPr>
        <w:t>, 2019</w:t>
      </w:r>
      <w:r w:rsidR="0031469F">
        <w:tab/>
        <w:t xml:space="preserve"> </w:t>
      </w:r>
      <w:r w:rsidR="0034172F">
        <w:tab/>
      </w:r>
      <w:r w:rsidR="0034172F">
        <w:tab/>
      </w:r>
      <w:r w:rsidR="004F5FDB" w:rsidRPr="001B060F">
        <w:t>2:30</w:t>
      </w:r>
      <w:r w:rsidR="007042F3">
        <w:t xml:space="preserve"> </w:t>
      </w:r>
      <w:r w:rsidR="004F5FDB" w:rsidRPr="001B060F">
        <w:t>to 3:30</w:t>
      </w:r>
      <w:r w:rsidR="00EF54CE">
        <w:t xml:space="preserve"> pm</w:t>
      </w:r>
    </w:p>
    <w:p w:rsidR="00670FC0" w:rsidRPr="001B060F" w:rsidRDefault="00F65D5D">
      <w:r w:rsidRPr="001B060F">
        <w:t xml:space="preserve">Attendance: </w:t>
      </w:r>
      <w:r w:rsidR="00644910">
        <w:t xml:space="preserve">Lauren </w:t>
      </w:r>
      <w:proofErr w:type="spellStart"/>
      <w:r w:rsidR="00644910">
        <w:t>DiSalvo</w:t>
      </w:r>
      <w:proofErr w:type="spellEnd"/>
      <w:r w:rsidR="00644910">
        <w:t xml:space="preserve">, Rhonda Rhodes, </w:t>
      </w:r>
      <w:r w:rsidR="002D515E">
        <w:t xml:space="preserve">Kristeen Davies, </w:t>
      </w:r>
      <w:r w:rsidR="00644910">
        <w:t xml:space="preserve">Shandon Gubler, Derrick </w:t>
      </w:r>
      <w:proofErr w:type="spellStart"/>
      <w:r w:rsidR="00644910">
        <w:t>Esplin</w:t>
      </w:r>
      <w:proofErr w:type="spellEnd"/>
      <w:r w:rsidR="00644910">
        <w:t xml:space="preserve">, Kari </w:t>
      </w:r>
      <w:proofErr w:type="spellStart"/>
      <w:r w:rsidR="00644910">
        <w:t>Gali</w:t>
      </w:r>
      <w:proofErr w:type="spellEnd"/>
      <w:r w:rsidR="00644910">
        <w:t>, Jason Wi</w:t>
      </w:r>
      <w:r w:rsidR="002D515E">
        <w:t>lde, Chelsea McCracken, Caleb Ames,</w:t>
      </w:r>
      <w:r w:rsidR="00644910">
        <w:t xml:space="preserve"> Lisa Welch</w:t>
      </w:r>
      <w:r w:rsidR="002D515E">
        <w:t xml:space="preserve">, Tiera Rigby, Joe Lovell, Joy </w:t>
      </w:r>
      <w:proofErr w:type="spellStart"/>
      <w:r w:rsidR="002D515E">
        <w:t>McMurrin</w:t>
      </w:r>
      <w:proofErr w:type="spellEnd"/>
      <w:r w:rsidR="002D515E">
        <w:t xml:space="preserve"> for Braden Lindstrom, Korey Phelan for</w:t>
      </w:r>
      <w:r w:rsidR="00644910">
        <w:t xml:space="preserve"> Jessica Abbott, Michael Cartmill, </w:t>
      </w:r>
      <w:r w:rsidR="002D515E">
        <w:t xml:space="preserve">Christine Chew, </w:t>
      </w:r>
      <w:proofErr w:type="spellStart"/>
      <w:r w:rsidR="00644910">
        <w:t>Raisa</w:t>
      </w:r>
      <w:proofErr w:type="spellEnd"/>
      <w:r w:rsidR="00644910">
        <w:t xml:space="preserve"> Alvarado, Rhiannon Bent, Marius van der Merwe, Jennifer Meyer, Vinodh Chellamuthu, Bob Nielson, Michelle McDermott, Samuel Tobler, Steven Day, Julie Chew, and Allyson Hamilton. </w:t>
      </w:r>
    </w:p>
    <w:tbl>
      <w:tblPr>
        <w:tblStyle w:val="TableGrid"/>
        <w:tblW w:w="0" w:type="auto"/>
        <w:tblLook w:val="04A0" w:firstRow="1" w:lastRow="0" w:firstColumn="1" w:lastColumn="0" w:noHBand="0" w:noVBand="1"/>
      </w:tblPr>
      <w:tblGrid>
        <w:gridCol w:w="1689"/>
        <w:gridCol w:w="7306"/>
        <w:gridCol w:w="2520"/>
        <w:gridCol w:w="2610"/>
      </w:tblGrid>
      <w:tr w:rsidR="00F65D5D" w:rsidRPr="001B060F" w:rsidTr="00996869">
        <w:tc>
          <w:tcPr>
            <w:tcW w:w="1689" w:type="dxa"/>
          </w:tcPr>
          <w:p w:rsidR="00F65D5D" w:rsidRPr="001B060F" w:rsidRDefault="00F65D5D">
            <w:pPr>
              <w:rPr>
                <w:b/>
              </w:rPr>
            </w:pPr>
            <w:r w:rsidRPr="001B060F">
              <w:rPr>
                <w:b/>
              </w:rPr>
              <w:t>Agenda Item</w:t>
            </w:r>
          </w:p>
        </w:tc>
        <w:tc>
          <w:tcPr>
            <w:tcW w:w="7306" w:type="dxa"/>
          </w:tcPr>
          <w:p w:rsidR="00F65D5D" w:rsidRPr="001B060F" w:rsidRDefault="00F65D5D">
            <w:pPr>
              <w:rPr>
                <w:b/>
              </w:rPr>
            </w:pPr>
            <w:r w:rsidRPr="001B060F">
              <w:rPr>
                <w:b/>
              </w:rPr>
              <w:t>Discussion</w:t>
            </w:r>
          </w:p>
        </w:tc>
        <w:tc>
          <w:tcPr>
            <w:tcW w:w="2520" w:type="dxa"/>
          </w:tcPr>
          <w:p w:rsidR="00F65D5D" w:rsidRPr="001B060F" w:rsidRDefault="00F65D5D">
            <w:pPr>
              <w:rPr>
                <w:b/>
              </w:rPr>
            </w:pPr>
            <w:r w:rsidRPr="001B060F">
              <w:rPr>
                <w:b/>
              </w:rPr>
              <w:t>Action</w:t>
            </w:r>
          </w:p>
        </w:tc>
        <w:tc>
          <w:tcPr>
            <w:tcW w:w="2610" w:type="dxa"/>
          </w:tcPr>
          <w:p w:rsidR="00F65D5D" w:rsidRPr="001B060F" w:rsidRDefault="00F65D5D">
            <w:pPr>
              <w:rPr>
                <w:b/>
              </w:rPr>
            </w:pPr>
            <w:r w:rsidRPr="001B060F">
              <w:rPr>
                <w:b/>
              </w:rPr>
              <w:t>Responsible Person</w:t>
            </w:r>
            <w:r w:rsidR="001B060F">
              <w:rPr>
                <w:b/>
              </w:rPr>
              <w:t>(s)</w:t>
            </w:r>
          </w:p>
        </w:tc>
      </w:tr>
      <w:tr w:rsidR="000D4534" w:rsidRPr="001B060F" w:rsidTr="00996869">
        <w:tc>
          <w:tcPr>
            <w:tcW w:w="1689" w:type="dxa"/>
          </w:tcPr>
          <w:p w:rsidR="000D4534" w:rsidRPr="001B060F" w:rsidRDefault="000D4534">
            <w:pPr>
              <w:rPr>
                <w:b/>
              </w:rPr>
            </w:pPr>
            <w:r>
              <w:rPr>
                <w:b/>
              </w:rPr>
              <w:t>Welcome</w:t>
            </w:r>
          </w:p>
        </w:tc>
        <w:tc>
          <w:tcPr>
            <w:tcW w:w="7306" w:type="dxa"/>
          </w:tcPr>
          <w:p w:rsidR="000D4534" w:rsidRPr="00F70125" w:rsidRDefault="00F70125">
            <w:r>
              <w:t xml:space="preserve">Samuel welcomed all senators and guests to the meeting. </w:t>
            </w:r>
          </w:p>
        </w:tc>
        <w:tc>
          <w:tcPr>
            <w:tcW w:w="2520" w:type="dxa"/>
          </w:tcPr>
          <w:p w:rsidR="000D4534" w:rsidRPr="002D515E" w:rsidRDefault="002D515E">
            <w:r w:rsidRPr="002D515E">
              <w:t>None</w:t>
            </w:r>
          </w:p>
        </w:tc>
        <w:tc>
          <w:tcPr>
            <w:tcW w:w="2610" w:type="dxa"/>
          </w:tcPr>
          <w:p w:rsidR="000D4534" w:rsidRPr="002D515E" w:rsidRDefault="002D515E">
            <w:r w:rsidRPr="002D515E">
              <w:t>None</w:t>
            </w:r>
          </w:p>
        </w:tc>
      </w:tr>
      <w:tr w:rsidR="00512433" w:rsidRPr="001B060F" w:rsidTr="00996869">
        <w:tc>
          <w:tcPr>
            <w:tcW w:w="1689" w:type="dxa"/>
          </w:tcPr>
          <w:p w:rsidR="00512433" w:rsidRDefault="00512433">
            <w:pPr>
              <w:rPr>
                <w:b/>
              </w:rPr>
            </w:pPr>
            <w:r>
              <w:rPr>
                <w:b/>
              </w:rPr>
              <w:t>RTP</w:t>
            </w:r>
          </w:p>
        </w:tc>
        <w:tc>
          <w:tcPr>
            <w:tcW w:w="7306" w:type="dxa"/>
          </w:tcPr>
          <w:p w:rsidR="00512433" w:rsidRDefault="002D515E">
            <w:r>
              <w:t>Samuel reminded all that as an outcome of our Faculty Forum this fall, e</w:t>
            </w:r>
            <w:r w:rsidR="00512433">
              <w:t xml:space="preserve">ach college needs to be developing their </w:t>
            </w:r>
            <w:r>
              <w:t>own RTP rubric</w:t>
            </w:r>
            <w:r w:rsidR="00512433">
              <w:t xml:space="preserve">. </w:t>
            </w:r>
          </w:p>
        </w:tc>
        <w:tc>
          <w:tcPr>
            <w:tcW w:w="2520" w:type="dxa"/>
          </w:tcPr>
          <w:p w:rsidR="00512433" w:rsidRPr="002D515E" w:rsidRDefault="00512433"/>
        </w:tc>
        <w:tc>
          <w:tcPr>
            <w:tcW w:w="2610" w:type="dxa"/>
          </w:tcPr>
          <w:p w:rsidR="00512433" w:rsidRPr="001B060F" w:rsidRDefault="00512433">
            <w:pPr>
              <w:rPr>
                <w:b/>
              </w:rPr>
            </w:pPr>
          </w:p>
        </w:tc>
      </w:tr>
      <w:tr w:rsidR="000D4534" w:rsidRPr="001B060F" w:rsidTr="00996869">
        <w:tc>
          <w:tcPr>
            <w:tcW w:w="1689" w:type="dxa"/>
          </w:tcPr>
          <w:p w:rsidR="000D4534" w:rsidRDefault="000D4534">
            <w:pPr>
              <w:rPr>
                <w:b/>
              </w:rPr>
            </w:pPr>
            <w:r>
              <w:rPr>
                <w:b/>
              </w:rPr>
              <w:t>Homecoming</w:t>
            </w:r>
          </w:p>
        </w:tc>
        <w:tc>
          <w:tcPr>
            <w:tcW w:w="7306" w:type="dxa"/>
          </w:tcPr>
          <w:p w:rsidR="00512433" w:rsidRPr="00F70125" w:rsidRDefault="00512433">
            <w:r>
              <w:t xml:space="preserve">The homecoming parade is this Saturday.  We would love to have anyone participate who would like to.   The route has changed.  The parade will go down University Avenue and then down 600 south.  Line up at Parking lot north of Eccles and Snow building.  Can’t park in that area…walk to the area for setting up the </w:t>
            </w:r>
            <w:proofErr w:type="gramStart"/>
            <w:r>
              <w:t>float.</w:t>
            </w:r>
            <w:proofErr w:type="gramEnd"/>
            <w:r>
              <w:t xml:space="preserve">  Meet at 8 a.m. to help decorate.  </w:t>
            </w:r>
            <w:r w:rsidR="002D515E">
              <w:t xml:space="preserve">Wear Faculty Senate shirt if you have one.  If not, wear Dixie colors. </w:t>
            </w:r>
          </w:p>
        </w:tc>
        <w:tc>
          <w:tcPr>
            <w:tcW w:w="2520" w:type="dxa"/>
          </w:tcPr>
          <w:p w:rsidR="000D4534" w:rsidRPr="00F70125" w:rsidRDefault="00F70125">
            <w:r>
              <w:t xml:space="preserve">Agreed to not participate this year but anticipate preparing to participate in future years. </w:t>
            </w:r>
          </w:p>
        </w:tc>
        <w:tc>
          <w:tcPr>
            <w:tcW w:w="2610" w:type="dxa"/>
          </w:tcPr>
          <w:p w:rsidR="000D4534" w:rsidRPr="00F70125" w:rsidRDefault="00F70125">
            <w:r w:rsidRPr="00F70125">
              <w:t xml:space="preserve">Anyone want to take this on? </w:t>
            </w:r>
          </w:p>
        </w:tc>
      </w:tr>
      <w:tr w:rsidR="00512433" w:rsidRPr="001B060F" w:rsidTr="00996869">
        <w:tc>
          <w:tcPr>
            <w:tcW w:w="1689" w:type="dxa"/>
          </w:tcPr>
          <w:p w:rsidR="00512433" w:rsidRDefault="00512433">
            <w:pPr>
              <w:rPr>
                <w:b/>
              </w:rPr>
            </w:pPr>
            <w:r>
              <w:rPr>
                <w:b/>
              </w:rPr>
              <w:t>Approval of Minutes</w:t>
            </w:r>
          </w:p>
        </w:tc>
        <w:tc>
          <w:tcPr>
            <w:tcW w:w="7306" w:type="dxa"/>
          </w:tcPr>
          <w:p w:rsidR="00512433" w:rsidRDefault="00512433">
            <w:r>
              <w:t xml:space="preserve">Motion to approve minutes of October 3, 2019. Seconded. </w:t>
            </w:r>
          </w:p>
        </w:tc>
        <w:tc>
          <w:tcPr>
            <w:tcW w:w="2520" w:type="dxa"/>
          </w:tcPr>
          <w:p w:rsidR="00512433" w:rsidRDefault="00512433">
            <w:r>
              <w:t xml:space="preserve">Motion passed. </w:t>
            </w:r>
          </w:p>
        </w:tc>
        <w:tc>
          <w:tcPr>
            <w:tcW w:w="2610" w:type="dxa"/>
          </w:tcPr>
          <w:p w:rsidR="00512433" w:rsidRPr="00F70125" w:rsidRDefault="002D515E">
            <w:r>
              <w:t>Julie Chew</w:t>
            </w:r>
          </w:p>
        </w:tc>
      </w:tr>
      <w:tr w:rsidR="00512433" w:rsidRPr="001B060F" w:rsidTr="00996869">
        <w:tc>
          <w:tcPr>
            <w:tcW w:w="1689" w:type="dxa"/>
          </w:tcPr>
          <w:p w:rsidR="00512433" w:rsidRDefault="00512433">
            <w:pPr>
              <w:rPr>
                <w:b/>
              </w:rPr>
            </w:pPr>
            <w:r>
              <w:rPr>
                <w:b/>
              </w:rPr>
              <w:t>Approval of Minutes</w:t>
            </w:r>
          </w:p>
        </w:tc>
        <w:tc>
          <w:tcPr>
            <w:tcW w:w="7306" w:type="dxa"/>
          </w:tcPr>
          <w:p w:rsidR="00512433" w:rsidRDefault="00512433">
            <w:r>
              <w:t xml:space="preserve">Motion to approve minutes of October 10, 2019.  Seconded. </w:t>
            </w:r>
          </w:p>
        </w:tc>
        <w:tc>
          <w:tcPr>
            <w:tcW w:w="2520" w:type="dxa"/>
          </w:tcPr>
          <w:p w:rsidR="00512433" w:rsidRDefault="00512433">
            <w:r>
              <w:t xml:space="preserve">Motion passed. </w:t>
            </w:r>
          </w:p>
        </w:tc>
        <w:tc>
          <w:tcPr>
            <w:tcW w:w="2610" w:type="dxa"/>
          </w:tcPr>
          <w:p w:rsidR="00512433" w:rsidRPr="00F70125" w:rsidRDefault="002D515E">
            <w:r>
              <w:t>Julie Chew</w:t>
            </w:r>
          </w:p>
        </w:tc>
      </w:tr>
      <w:tr w:rsidR="00512433" w:rsidRPr="001B060F" w:rsidTr="00996869">
        <w:tc>
          <w:tcPr>
            <w:tcW w:w="1689" w:type="dxa"/>
          </w:tcPr>
          <w:p w:rsidR="00512433" w:rsidRDefault="00512433">
            <w:pPr>
              <w:rPr>
                <w:b/>
              </w:rPr>
            </w:pPr>
            <w:r>
              <w:rPr>
                <w:b/>
              </w:rPr>
              <w:t xml:space="preserve">Provost </w:t>
            </w:r>
            <w:proofErr w:type="spellStart"/>
            <w:r>
              <w:rPr>
                <w:b/>
              </w:rPr>
              <w:t>Lacourse</w:t>
            </w:r>
            <w:proofErr w:type="spellEnd"/>
          </w:p>
        </w:tc>
        <w:tc>
          <w:tcPr>
            <w:tcW w:w="7306" w:type="dxa"/>
          </w:tcPr>
          <w:p w:rsidR="00512433" w:rsidRDefault="00512433">
            <w:r>
              <w:t xml:space="preserve">Personnel changes in academic affairs.  Jason Browning for Institutional Effectiveness.  Position held by Laura Snelson was eliminated and replaced with a position which will do more data analysis.  Jason will lead assessment for the time being.  We will consider next steps and some additional reorganization as time goes on. </w:t>
            </w:r>
          </w:p>
          <w:p w:rsidR="00831C23" w:rsidRDefault="00831C23"/>
          <w:p w:rsidR="00512433" w:rsidRDefault="00512433">
            <w:r>
              <w:t xml:space="preserve">Strategic Plan is our largest focus right now. Strategic Planning Committee is meeting every week at 7 a.m. Everything will be in draft form as we progress because we want to obtain feedback from everyone. Soon you should see a draft of the new Mission Values and Goals. Look for an announcement tomorrow about November 5h at noon for a general campus open discussion and presentation. Plan is to have goals complete before winter break.  We have a webpage but not all the information is up yet.  First documents will be up tomorrow with more being added as prepared. </w:t>
            </w:r>
          </w:p>
          <w:p w:rsidR="00831C23" w:rsidRDefault="00831C23"/>
          <w:p w:rsidR="00512433" w:rsidRDefault="00512433">
            <w:r>
              <w:t>We are trying to obtain information on future trends in higher education.  There is a consultant, Bryan Alexander</w:t>
            </w:r>
            <w:proofErr w:type="gramStart"/>
            <w:r>
              <w:t>,  Senior</w:t>
            </w:r>
            <w:proofErr w:type="gramEnd"/>
            <w:r>
              <w:t xml:space="preserve"> Fellow at Georgetown University, who is coming to campus and presenting to all of us on Friday.  Our </w:t>
            </w:r>
            <w:r>
              <w:lastRenderedPageBreak/>
              <w:t xml:space="preserve">Strategic Plan may need to change even once it is developed due to the rapid changes within higher education. </w:t>
            </w:r>
            <w:r w:rsidR="00831C23">
              <w:t xml:space="preserve">May need to develop college specific plans as well to help us structure what kind of a university we become. </w:t>
            </w:r>
          </w:p>
          <w:p w:rsidR="00831C23" w:rsidRDefault="00831C23"/>
          <w:p w:rsidR="00831C23" w:rsidRDefault="00831C23">
            <w:r>
              <w:t xml:space="preserve">Update on preparation </w:t>
            </w:r>
            <w:proofErr w:type="gramStart"/>
            <w:r>
              <w:t>for  accreditation</w:t>
            </w:r>
            <w:proofErr w:type="gramEnd"/>
            <w:r>
              <w:t xml:space="preserve">.   Self-study is to be submitted Summer of 2020.  Data will be analyzed and then organized and presented the first of January. </w:t>
            </w:r>
          </w:p>
          <w:p w:rsidR="00831C23" w:rsidRDefault="00831C23">
            <w:r>
              <w:br/>
              <w:t xml:space="preserve">Season of breaking ground and cutting ribbons.  SET broke ground yesterday.  Completion date of summer 2021.  Graff project is waiting for fire marshal approval and then it will have a ribbon cutting.  November 8, </w:t>
            </w:r>
            <w:proofErr w:type="gramStart"/>
            <w:r>
              <w:t>2019  ribbon</w:t>
            </w:r>
            <w:proofErr w:type="gramEnd"/>
            <w:r>
              <w:t xml:space="preserve"> cutting for Atwood Innovation Plaza.  Soft Cell Biologicals will be moving to Atwood Innovation Plaza.  Trustee Atwood is ill at this time so keep him in your thoughts and prayers.  November 13, 2019 will be ribbon cutting for the Human Performance Center.  It will be fully open on November 5, 2019.  The pool will be filled on Monday with 800,000 gallons of water. November 14, 2019 Human Performance will be open to everyone.  Will start construction on new residence hall in January 2020.  Plan is to build a 500-bed residence hall.  Plan will be to open in Fall 2020.  Shiloh students will be moved to better housing such as 605 Place and the university will cover the difference. </w:t>
            </w:r>
          </w:p>
          <w:p w:rsidR="00831C23" w:rsidRDefault="00831C23"/>
          <w:p w:rsidR="00831C23" w:rsidRDefault="00831C23">
            <w:r>
              <w:t xml:space="preserve">New Academic Advisement Model with college specific advisement and central advisement as well.  Dr. </w:t>
            </w:r>
            <w:proofErr w:type="spellStart"/>
            <w:r>
              <w:t>Vandermark</w:t>
            </w:r>
            <w:proofErr w:type="spellEnd"/>
            <w:r>
              <w:t xml:space="preserve"> has su</w:t>
            </w:r>
            <w:r w:rsidR="00C718CB">
              <w:t>ggested assigning t</w:t>
            </w:r>
            <w:r>
              <w:t xml:space="preserve">hose with lower index scores being assigned to central advisement which will have smaller ratios.  Advisors have been placed in professional ranks and created coordinator positions. Software purchased from EAB is going to be called “Trails” and is now implemented.  Advisors are using it.  Scheduling has been rolled out.  Other features will be rolled out in modules over time. </w:t>
            </w:r>
          </w:p>
          <w:p w:rsidR="00831C23" w:rsidRDefault="00831C23"/>
          <w:p w:rsidR="00831C23" w:rsidRDefault="00831C23">
            <w:r>
              <w:t>There is an application which will be available for students in the fall which will help advise and give them suggestions which they can then go to Banner and register for classes.</w:t>
            </w:r>
          </w:p>
          <w:p w:rsidR="00831C23" w:rsidRDefault="00831C23">
            <w:r>
              <w:br/>
              <w:t xml:space="preserve">Sarah and Mike will be </w:t>
            </w:r>
            <w:r w:rsidR="003B72FF">
              <w:t>attending</w:t>
            </w:r>
            <w:r>
              <w:t xml:space="preserve"> department or college meetings to share information about this. </w:t>
            </w:r>
          </w:p>
          <w:p w:rsidR="00831C23" w:rsidRDefault="00831C23"/>
          <w:p w:rsidR="00C718CB" w:rsidRDefault="00831C23">
            <w:r>
              <w:t xml:space="preserve">Faculty software for portfolio management, </w:t>
            </w:r>
            <w:proofErr w:type="spellStart"/>
            <w:r>
              <w:t>Interfolio</w:t>
            </w:r>
            <w:proofErr w:type="spellEnd"/>
            <w:r>
              <w:t>, will be coming soon.  The goal is to have it fully implement</w:t>
            </w:r>
            <w:r w:rsidR="00C718CB">
              <w:t xml:space="preserve">ed by December 16, 2019.  Samuel shared a smaller group of 6-8 </w:t>
            </w:r>
            <w:r w:rsidR="003B72FF">
              <w:t>individuals</w:t>
            </w:r>
            <w:r w:rsidR="00C718CB">
              <w:t xml:space="preserve"> will be selected per college in November who have complex portfolios to determine how well the process of transferring </w:t>
            </w:r>
            <w:r w:rsidR="00C718CB">
              <w:lastRenderedPageBreak/>
              <w:t xml:space="preserve">from Digital Measures to </w:t>
            </w:r>
            <w:proofErr w:type="spellStart"/>
            <w:r w:rsidR="00C718CB">
              <w:t>Interfolio</w:t>
            </w:r>
            <w:proofErr w:type="spellEnd"/>
            <w:r w:rsidR="00C718CB">
              <w:t xml:space="preserve"> will go.   For those who are under review right now, Provost is to review by December 15, 2019 so review should be complete.  New hires will be given a blank shell in </w:t>
            </w:r>
            <w:proofErr w:type="spellStart"/>
            <w:r w:rsidR="00C718CB">
              <w:t>Interfolio</w:t>
            </w:r>
            <w:proofErr w:type="spellEnd"/>
            <w:r w:rsidR="00C718CB">
              <w:t xml:space="preserve"> to begin inputting information as of December 16, 2019.  We should stop uploading information into Digital Measures as of Thanksgiving.  </w:t>
            </w:r>
          </w:p>
          <w:p w:rsidR="00C718CB" w:rsidRDefault="00C718CB"/>
          <w:p w:rsidR="00C718CB" w:rsidRDefault="00C718CB">
            <w:r>
              <w:t xml:space="preserve">We have a unique way with intellectual properties.  We do not maintain 100% ownership of intellectual property as is typical of most universities.   We are working to develop ways to assess how much of university resources have been utilized in determining how to equitably distribute the rights to the intellectual property.  </w:t>
            </w:r>
          </w:p>
          <w:p w:rsidR="00C718CB" w:rsidRDefault="00C718CB"/>
          <w:p w:rsidR="00C718CB" w:rsidRDefault="00C718CB">
            <w:r>
              <w:t xml:space="preserve">Kanab Center has been completed. </w:t>
            </w:r>
          </w:p>
          <w:p w:rsidR="00C718CB" w:rsidRDefault="00C718CB"/>
          <w:p w:rsidR="00C718CB" w:rsidRDefault="00C718CB">
            <w:r>
              <w:t>Tanner Amphitheater</w:t>
            </w:r>
            <w:r w:rsidR="002D515E">
              <w:t xml:space="preserve"> and an additional 90 acres in Springdale, UT</w:t>
            </w:r>
            <w:r>
              <w:t xml:space="preserve"> is o</w:t>
            </w:r>
            <w:r w:rsidR="002D515E">
              <w:t xml:space="preserve">wned by the University. </w:t>
            </w:r>
            <w:r>
              <w:t>Over time, individuals and organizations have presented a variety of proposals</w:t>
            </w:r>
            <w:r w:rsidR="002D515E">
              <w:t xml:space="preserve"> to a committee which has been considering these.  Up until last May, we had never had a proposal which really made sense</w:t>
            </w:r>
            <w:r>
              <w:t xml:space="preserve">.  Last May, we had a proposal which was very solid which proposed </w:t>
            </w:r>
            <w:r w:rsidR="003B72FF">
              <w:t xml:space="preserve">a </w:t>
            </w:r>
            <w:r>
              <w:t xml:space="preserve">hospitality hotel management program.  The plan will be to create a live and learn environment and </w:t>
            </w:r>
            <w:r w:rsidR="003B72FF">
              <w:t xml:space="preserve">have students </w:t>
            </w:r>
            <w:r>
              <w:t>work their way through different levels of responsibility.  We are preparing to do a request for proposal</w:t>
            </w:r>
            <w:r w:rsidR="003B72FF">
              <w:t xml:space="preserve"> (RFP)</w:t>
            </w:r>
            <w:r>
              <w:t xml:space="preserve">.  The hotel would support student learning and support the Tanner Amphitheater.  </w:t>
            </w:r>
            <w:r w:rsidR="003B72FF">
              <w:t xml:space="preserve">Adjacent to our land is land owned by the Mesa Foundation.  Plan was to develop an artist retreat which has been ongoing for 30 years. </w:t>
            </w:r>
            <w:r>
              <w:t>News story about the Mesa Foundation group which revealed they do not want to be involved.  We will be looking for the RFP to identify those who are int</w:t>
            </w:r>
            <w:r w:rsidR="002713D4">
              <w:t xml:space="preserve">erested in partnering with us. Plan is to build a world class hotel with a conference center which will be 1-2 stories high.  </w:t>
            </w:r>
          </w:p>
          <w:p w:rsidR="002713D4" w:rsidRDefault="002713D4"/>
          <w:p w:rsidR="002713D4" w:rsidRDefault="002713D4" w:rsidP="002713D4">
            <w:r>
              <w:t>As we prepare for next year, the new enrollment target</w:t>
            </w:r>
            <w:r w:rsidR="003B72FF">
              <w:t xml:space="preserve"> is 12, 500 with an increase in the freshman class of</w:t>
            </w:r>
            <w:r>
              <w:t xml:space="preserve"> 700 students.  We had 2300</w:t>
            </w:r>
            <w:r w:rsidR="003B72FF">
              <w:t xml:space="preserve"> freshman</w:t>
            </w:r>
            <w:bookmarkStart w:id="0" w:name="_GoBack"/>
            <w:bookmarkEnd w:id="0"/>
            <w:r>
              <w:t xml:space="preserve"> this year and are planning on 3000 next year. Conclusion is that we will need to hire 15-17 new faculty positions in a combination of professional and technical tracks. </w:t>
            </w:r>
          </w:p>
        </w:tc>
        <w:tc>
          <w:tcPr>
            <w:tcW w:w="2520" w:type="dxa"/>
          </w:tcPr>
          <w:p w:rsidR="00512433" w:rsidRDefault="00E5082D">
            <w:r>
              <w:lastRenderedPageBreak/>
              <w:t>None</w:t>
            </w:r>
          </w:p>
        </w:tc>
        <w:tc>
          <w:tcPr>
            <w:tcW w:w="2610" w:type="dxa"/>
          </w:tcPr>
          <w:p w:rsidR="00512433" w:rsidRPr="00F70125" w:rsidRDefault="00E5082D">
            <w:r>
              <w:t>None</w:t>
            </w:r>
          </w:p>
        </w:tc>
      </w:tr>
      <w:tr w:rsidR="000D4534" w:rsidRPr="001B060F" w:rsidTr="00996869">
        <w:tc>
          <w:tcPr>
            <w:tcW w:w="1689" w:type="dxa"/>
          </w:tcPr>
          <w:p w:rsidR="000D4534" w:rsidRDefault="002713D4">
            <w:pPr>
              <w:rPr>
                <w:b/>
              </w:rPr>
            </w:pPr>
            <w:r>
              <w:rPr>
                <w:b/>
              </w:rPr>
              <w:lastRenderedPageBreak/>
              <w:t>Child Care</w:t>
            </w:r>
          </w:p>
        </w:tc>
        <w:tc>
          <w:tcPr>
            <w:tcW w:w="7306" w:type="dxa"/>
          </w:tcPr>
          <w:p w:rsidR="000D4534" w:rsidRPr="00323141" w:rsidRDefault="002713D4">
            <w:r>
              <w:t>Lisa Welch, Jennifer M</w:t>
            </w:r>
            <w:r w:rsidR="002D515E">
              <w:t>e</w:t>
            </w:r>
            <w:r>
              <w:t xml:space="preserve">yer, and Rhiannon Bent are all willing to work on this.  Tiffany Draper will share with us the history and what has been done in the past.  Derrick </w:t>
            </w:r>
            <w:proofErr w:type="spellStart"/>
            <w:r>
              <w:t>Esplin</w:t>
            </w:r>
            <w:proofErr w:type="spellEnd"/>
            <w:r>
              <w:t xml:space="preserve"> volunteered to serve on the committee.  Recommendation to examine the impact on local businesses as there is a rule in place that we </w:t>
            </w:r>
            <w:r>
              <w:lastRenderedPageBreak/>
              <w:t xml:space="preserve">cannot be in competition with businesses currently providing child care in the community. </w:t>
            </w:r>
          </w:p>
        </w:tc>
        <w:tc>
          <w:tcPr>
            <w:tcW w:w="2520" w:type="dxa"/>
          </w:tcPr>
          <w:p w:rsidR="000D4534" w:rsidRPr="00323141" w:rsidRDefault="002D515E">
            <w:r>
              <w:lastRenderedPageBreak/>
              <w:t xml:space="preserve">Committee will meet and keep us advised. </w:t>
            </w:r>
          </w:p>
        </w:tc>
        <w:tc>
          <w:tcPr>
            <w:tcW w:w="2610" w:type="dxa"/>
          </w:tcPr>
          <w:p w:rsidR="000D4534" w:rsidRPr="00323141" w:rsidRDefault="002D515E">
            <w:r>
              <w:t xml:space="preserve">Lisa Welch, Jennifer Meyer, Rhiannon Bent, and Derrick </w:t>
            </w:r>
            <w:proofErr w:type="spellStart"/>
            <w:r>
              <w:t>Esplin</w:t>
            </w:r>
            <w:proofErr w:type="spellEnd"/>
            <w:r>
              <w:t xml:space="preserve">. </w:t>
            </w:r>
          </w:p>
        </w:tc>
      </w:tr>
      <w:tr w:rsidR="000D4534" w:rsidRPr="001B060F" w:rsidTr="00996869">
        <w:tc>
          <w:tcPr>
            <w:tcW w:w="1689" w:type="dxa"/>
          </w:tcPr>
          <w:p w:rsidR="000D4534" w:rsidRDefault="002713D4">
            <w:pPr>
              <w:rPr>
                <w:b/>
              </w:rPr>
            </w:pPr>
            <w:r>
              <w:rPr>
                <w:b/>
              </w:rPr>
              <w:t>Policy 661</w:t>
            </w:r>
          </w:p>
        </w:tc>
        <w:tc>
          <w:tcPr>
            <w:tcW w:w="7306" w:type="dxa"/>
          </w:tcPr>
          <w:p w:rsidR="0039167B" w:rsidRPr="000D4534" w:rsidRDefault="002713D4">
            <w:r>
              <w:t xml:space="preserve">Policy was originally 608 as of March 2011 and is now 661 as of April 2019 and was updated to the new format. Historically, faculty did have a vote in the selection of the associate dean, but the final decision was up to the dean with the expectation that the dean would work with groups of faculty to address concerns associated with the selection.  With the new policy there is more involvement of the Provost, and a committee which will provide three names which are approved for the position. </w:t>
            </w:r>
            <w:r w:rsidR="0039167B">
              <w:t xml:space="preserve"> There is no faculty voting in the current policy. There was not a lot of attention to Policy 661 in the form of comments when it was up for review.  Do we want to continue to support this policy or do we want to recommend revisions to this policy? Discussion ensued.  There is no standard job description for associate deans.  Four of the six colleges currently have associate deans. Selection committee should be considering the job responsibilities of the associate dean during the application/interview process. Is there another policy that covers removal of a dean or associate dean?  Yes, if there is an unsatisfactory associate dean there is a process in place. What if there are not three candidates for the position?  Does the policy allow the Dean to choose someone who is not one of the three approved candidates by the committee?  </w:t>
            </w:r>
          </w:p>
        </w:tc>
        <w:tc>
          <w:tcPr>
            <w:tcW w:w="2520" w:type="dxa"/>
          </w:tcPr>
          <w:p w:rsidR="000D4534" w:rsidRPr="0039167B" w:rsidRDefault="0039167B">
            <w:r w:rsidRPr="0039167B">
              <w:t>Review Policy 661</w:t>
            </w:r>
          </w:p>
        </w:tc>
        <w:tc>
          <w:tcPr>
            <w:tcW w:w="2610" w:type="dxa"/>
          </w:tcPr>
          <w:p w:rsidR="000D4534" w:rsidRPr="0039167B" w:rsidRDefault="0039167B">
            <w:r w:rsidRPr="0039167B">
              <w:t xml:space="preserve">All Faculty Senators to review and share with constituents. </w:t>
            </w:r>
          </w:p>
        </w:tc>
      </w:tr>
      <w:tr w:rsidR="000D4534" w:rsidRPr="001B060F" w:rsidTr="00996869">
        <w:tc>
          <w:tcPr>
            <w:tcW w:w="1689" w:type="dxa"/>
          </w:tcPr>
          <w:p w:rsidR="000D4534" w:rsidRDefault="0039167B">
            <w:pPr>
              <w:rPr>
                <w:b/>
              </w:rPr>
            </w:pPr>
            <w:r>
              <w:rPr>
                <w:b/>
              </w:rPr>
              <w:t xml:space="preserve">Motion </w:t>
            </w:r>
          </w:p>
        </w:tc>
        <w:tc>
          <w:tcPr>
            <w:tcW w:w="7306" w:type="dxa"/>
          </w:tcPr>
          <w:p w:rsidR="000D4534" w:rsidRPr="000D4534" w:rsidRDefault="0039167B">
            <w:r>
              <w:t xml:space="preserve">Motion to table the discussion of Policy 661 and have it on the next agenda. Seconded. </w:t>
            </w:r>
          </w:p>
        </w:tc>
        <w:tc>
          <w:tcPr>
            <w:tcW w:w="2520" w:type="dxa"/>
          </w:tcPr>
          <w:p w:rsidR="000D4534" w:rsidRPr="0039167B" w:rsidRDefault="0039167B">
            <w:r w:rsidRPr="0039167B">
              <w:t xml:space="preserve">Motion passed. </w:t>
            </w:r>
          </w:p>
        </w:tc>
        <w:tc>
          <w:tcPr>
            <w:tcW w:w="2610" w:type="dxa"/>
          </w:tcPr>
          <w:p w:rsidR="000D4534" w:rsidRPr="002D515E" w:rsidRDefault="002D515E">
            <w:r>
              <w:t>Samuel will add</w:t>
            </w:r>
            <w:r w:rsidRPr="002D515E">
              <w:t xml:space="preserve"> to the next agenda. </w:t>
            </w:r>
          </w:p>
        </w:tc>
      </w:tr>
      <w:tr w:rsidR="000D4534" w:rsidRPr="001B060F" w:rsidTr="00996869">
        <w:tc>
          <w:tcPr>
            <w:tcW w:w="1689" w:type="dxa"/>
          </w:tcPr>
          <w:p w:rsidR="000D4534" w:rsidRDefault="0039167B">
            <w:pPr>
              <w:rPr>
                <w:b/>
              </w:rPr>
            </w:pPr>
            <w:r>
              <w:rPr>
                <w:b/>
              </w:rPr>
              <w:t>Around the Table</w:t>
            </w:r>
          </w:p>
        </w:tc>
        <w:tc>
          <w:tcPr>
            <w:tcW w:w="7306" w:type="dxa"/>
          </w:tcPr>
          <w:p w:rsidR="00341F9E" w:rsidRDefault="0039167B">
            <w:r>
              <w:t xml:space="preserve">RTP documents.  What are the peer review and student evaluations going to look like?  Several groups have been working on peer review and student evaluations.  As far as peer review goes, it will likely be left as minimal and vague as it currently is. </w:t>
            </w:r>
            <w:r w:rsidR="002D515E">
              <w:t xml:space="preserve">The consensus has been that the conversation between the two faculty members is the valued portion of the peer review and not the actual form itself. </w:t>
            </w:r>
            <w:r>
              <w:t xml:space="preserve"> For student surveys, work was done and then the academic year ended.  The committee was broken up and reconstituted.  Don’t know if anyone is currently working on this process.  There is an online version being developed by the T</w:t>
            </w:r>
            <w:r w:rsidR="00E704E5">
              <w:t xml:space="preserve">eaching and Learning Center for surveying students in online classes.  There has been a national push to move from using evaluations which has been endorsed by a lot of national organizations.  Perhaps we need to revisit this issue with administration.  </w:t>
            </w:r>
          </w:p>
          <w:p w:rsidR="00E704E5" w:rsidRDefault="00E704E5"/>
          <w:p w:rsidR="00E704E5" w:rsidRDefault="002D515E">
            <w:r>
              <w:t xml:space="preserve">A concern was brought forth that </w:t>
            </w:r>
            <w:proofErr w:type="spellStart"/>
            <w:r>
              <w:t>a</w:t>
            </w:r>
            <w:proofErr w:type="spellEnd"/>
            <w:r>
              <w:t xml:space="preserve"> p</w:t>
            </w:r>
            <w:r w:rsidR="00E704E5">
              <w:t>art-time faculty member had an issue with a student</w:t>
            </w:r>
            <w:r>
              <w:t xml:space="preserve"> and had a meeting with the dean without any full time faculty members being aware or involved in the meeting. </w:t>
            </w:r>
            <w:r w:rsidR="00E704E5">
              <w:t xml:space="preserve">Feeling that we need to be with and advocate for the part-time faculty member.  </w:t>
            </w:r>
          </w:p>
          <w:p w:rsidR="00E704E5" w:rsidRDefault="00E704E5"/>
          <w:p w:rsidR="002D515E" w:rsidRDefault="002D515E"/>
          <w:p w:rsidR="002D515E" w:rsidRDefault="002D515E"/>
          <w:p w:rsidR="002D515E" w:rsidRDefault="002D515E"/>
          <w:p w:rsidR="002D515E" w:rsidRDefault="002D515E"/>
          <w:p w:rsidR="002D515E" w:rsidRDefault="002D515E"/>
          <w:p w:rsidR="002D515E" w:rsidRDefault="002D515E"/>
          <w:p w:rsidR="00E704E5" w:rsidRPr="000D4534" w:rsidRDefault="00E704E5">
            <w:r>
              <w:t xml:space="preserve">Faculty Forum documents are on the Teaching and Learning website.  We should be reviewing these and working on our RTP rubric specific for our college which the university will then use.  Senators may be responsible for facilitating this. We haven’t determined the actual way in which this will be completed.  We would like the chairs to do it and would love for the Senators to just remind and facilitate the process.  Goal is to create a document or a rubric which is uncomplicated and easy to utilize.  Joe has a rubric he will share. </w:t>
            </w:r>
          </w:p>
        </w:tc>
        <w:tc>
          <w:tcPr>
            <w:tcW w:w="2520" w:type="dxa"/>
          </w:tcPr>
          <w:p w:rsidR="002D515E" w:rsidRDefault="002D515E">
            <w:r>
              <w:lastRenderedPageBreak/>
              <w:t xml:space="preserve">Samuel will keep us apprised. </w:t>
            </w:r>
          </w:p>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0D4534" w:rsidRDefault="002D515E">
            <w:r>
              <w:t xml:space="preserve">Samuel will investigate what policies and process for student complaints and what supports do we have in place currently </w:t>
            </w:r>
            <w:r>
              <w:lastRenderedPageBreak/>
              <w:t>for part-time and full-time faculty and share with us at the next meeting.</w:t>
            </w:r>
          </w:p>
          <w:p w:rsidR="002D515E" w:rsidRDefault="002D515E"/>
          <w:p w:rsidR="002D515E" w:rsidRDefault="002D515E"/>
          <w:p w:rsidR="002D515E" w:rsidRPr="001B060F" w:rsidRDefault="002D515E">
            <w:pPr>
              <w:rPr>
                <w:b/>
              </w:rPr>
            </w:pPr>
            <w:r>
              <w:t>Please encourage follow-up with chairs and faculty</w:t>
            </w:r>
          </w:p>
        </w:tc>
        <w:tc>
          <w:tcPr>
            <w:tcW w:w="2610" w:type="dxa"/>
          </w:tcPr>
          <w:p w:rsidR="000D4534" w:rsidRDefault="002D515E">
            <w:r w:rsidRPr="002D515E">
              <w:lastRenderedPageBreak/>
              <w:t xml:space="preserve">Samuel will add to the next agenda. </w:t>
            </w:r>
          </w:p>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Default="002D515E"/>
          <w:p w:rsidR="002D515E" w:rsidRPr="002D515E" w:rsidRDefault="002D515E">
            <w:r>
              <w:t>All Senators</w:t>
            </w:r>
          </w:p>
        </w:tc>
      </w:tr>
      <w:tr w:rsidR="00341F9E" w:rsidRPr="001B060F" w:rsidTr="00996869">
        <w:tc>
          <w:tcPr>
            <w:tcW w:w="1689" w:type="dxa"/>
          </w:tcPr>
          <w:p w:rsidR="00341F9E" w:rsidRDefault="00BE72DE">
            <w:pPr>
              <w:rPr>
                <w:b/>
              </w:rPr>
            </w:pPr>
            <w:r>
              <w:rPr>
                <w:b/>
              </w:rPr>
              <w:t>Email</w:t>
            </w:r>
          </w:p>
        </w:tc>
        <w:tc>
          <w:tcPr>
            <w:tcW w:w="7306" w:type="dxa"/>
          </w:tcPr>
          <w:p w:rsidR="00341F9E" w:rsidRDefault="002D515E">
            <w:r>
              <w:t>Since we ran out of time to hear from each senator individually, please e</w:t>
            </w:r>
            <w:r w:rsidR="00BE72DE">
              <w:t xml:space="preserve">mail FSEC with any concerns. </w:t>
            </w:r>
            <w:r>
              <w:t xml:space="preserve"> </w:t>
            </w:r>
          </w:p>
        </w:tc>
        <w:tc>
          <w:tcPr>
            <w:tcW w:w="2520" w:type="dxa"/>
          </w:tcPr>
          <w:p w:rsidR="00341F9E" w:rsidRPr="001B060F" w:rsidRDefault="002D515E">
            <w:pPr>
              <w:rPr>
                <w:b/>
              </w:rPr>
            </w:pPr>
            <w:r w:rsidRPr="002D515E">
              <w:t>Senators</w:t>
            </w:r>
          </w:p>
        </w:tc>
        <w:tc>
          <w:tcPr>
            <w:tcW w:w="2610" w:type="dxa"/>
          </w:tcPr>
          <w:p w:rsidR="00341F9E" w:rsidRPr="002D515E" w:rsidRDefault="002D515E">
            <w:r w:rsidRPr="002D515E">
              <w:t>FSEC</w:t>
            </w:r>
          </w:p>
        </w:tc>
      </w:tr>
      <w:tr w:rsidR="00A144B9" w:rsidRPr="001B060F" w:rsidTr="00996869">
        <w:tc>
          <w:tcPr>
            <w:tcW w:w="1689" w:type="dxa"/>
          </w:tcPr>
          <w:p w:rsidR="00A144B9" w:rsidRDefault="003A23C3" w:rsidP="00435A68">
            <w:pPr>
              <w:rPr>
                <w:b/>
              </w:rPr>
            </w:pPr>
            <w:r>
              <w:rPr>
                <w:b/>
              </w:rPr>
              <w:t xml:space="preserve">Motion </w:t>
            </w:r>
          </w:p>
        </w:tc>
        <w:tc>
          <w:tcPr>
            <w:tcW w:w="7306" w:type="dxa"/>
          </w:tcPr>
          <w:p w:rsidR="00A144B9" w:rsidRDefault="00BE72DE" w:rsidP="00DB29EA">
            <w:r>
              <w:t xml:space="preserve">Motion to adjourn the meeting.  Seconded.  </w:t>
            </w:r>
            <w:r w:rsidR="00506818">
              <w:t xml:space="preserve">Meeting adjourned by the President. </w:t>
            </w:r>
          </w:p>
        </w:tc>
        <w:tc>
          <w:tcPr>
            <w:tcW w:w="2520" w:type="dxa"/>
          </w:tcPr>
          <w:p w:rsidR="00A144B9" w:rsidRDefault="002D515E" w:rsidP="00435A68">
            <w:r>
              <w:t>None</w:t>
            </w:r>
          </w:p>
        </w:tc>
        <w:tc>
          <w:tcPr>
            <w:tcW w:w="2610" w:type="dxa"/>
          </w:tcPr>
          <w:p w:rsidR="00A144B9" w:rsidRDefault="00B03ED1" w:rsidP="00435A68">
            <w:r>
              <w:t>None</w:t>
            </w:r>
          </w:p>
        </w:tc>
      </w:tr>
    </w:tbl>
    <w:p w:rsidR="004B2371" w:rsidRPr="001B060F" w:rsidRDefault="00BD6395">
      <w:r>
        <w:t xml:space="preserve">Meeting adjourned at </w:t>
      </w:r>
      <w:r w:rsidR="00BE72DE">
        <w:t>3:31</w:t>
      </w:r>
      <w:r w:rsidR="00C04074">
        <w:t xml:space="preserve"> </w:t>
      </w:r>
      <w:r w:rsidR="000811E3" w:rsidRPr="001B060F">
        <w:t>p.m</w:t>
      </w:r>
      <w:r w:rsidR="00982DB2" w:rsidRPr="00982DB2">
        <w:rPr>
          <w:b/>
        </w:rPr>
        <w:t>.</w:t>
      </w:r>
      <w:r w:rsidR="00982DB2">
        <w:t xml:space="preserve">  </w:t>
      </w:r>
    </w:p>
    <w:sectPr w:rsidR="004B2371" w:rsidRPr="001B060F" w:rsidSect="00740F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A69"/>
    <w:multiLevelType w:val="hybridMultilevel"/>
    <w:tmpl w:val="4F92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A14A7"/>
    <w:multiLevelType w:val="hybridMultilevel"/>
    <w:tmpl w:val="18A4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63E8"/>
    <w:multiLevelType w:val="hybridMultilevel"/>
    <w:tmpl w:val="F598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09D9"/>
    <w:multiLevelType w:val="hybridMultilevel"/>
    <w:tmpl w:val="D256B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E5166AE"/>
    <w:multiLevelType w:val="hybridMultilevel"/>
    <w:tmpl w:val="DFC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25B2D"/>
    <w:multiLevelType w:val="hybridMultilevel"/>
    <w:tmpl w:val="4CD4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62F0E"/>
    <w:multiLevelType w:val="hybridMultilevel"/>
    <w:tmpl w:val="CB8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62F19"/>
    <w:multiLevelType w:val="hybridMultilevel"/>
    <w:tmpl w:val="F9084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91007"/>
    <w:multiLevelType w:val="hybridMultilevel"/>
    <w:tmpl w:val="0FB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C5F9F"/>
    <w:multiLevelType w:val="hybridMultilevel"/>
    <w:tmpl w:val="2FD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2934"/>
    <w:multiLevelType w:val="hybridMultilevel"/>
    <w:tmpl w:val="C67A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37AA6"/>
    <w:multiLevelType w:val="hybridMultilevel"/>
    <w:tmpl w:val="F97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86B17"/>
    <w:multiLevelType w:val="hybridMultilevel"/>
    <w:tmpl w:val="202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01364"/>
    <w:multiLevelType w:val="hybridMultilevel"/>
    <w:tmpl w:val="0CC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736D"/>
    <w:multiLevelType w:val="hybridMultilevel"/>
    <w:tmpl w:val="C0F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C50C4"/>
    <w:multiLevelType w:val="hybridMultilevel"/>
    <w:tmpl w:val="4E7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D1887"/>
    <w:multiLevelType w:val="hybridMultilevel"/>
    <w:tmpl w:val="760A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556E1"/>
    <w:multiLevelType w:val="hybridMultilevel"/>
    <w:tmpl w:val="93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64BB6"/>
    <w:multiLevelType w:val="hybridMultilevel"/>
    <w:tmpl w:val="7E8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E6250"/>
    <w:multiLevelType w:val="hybridMultilevel"/>
    <w:tmpl w:val="D0C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44A1A"/>
    <w:multiLevelType w:val="hybridMultilevel"/>
    <w:tmpl w:val="2710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35944"/>
    <w:multiLevelType w:val="hybridMultilevel"/>
    <w:tmpl w:val="074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30D3F"/>
    <w:multiLevelType w:val="hybridMultilevel"/>
    <w:tmpl w:val="B08A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902FA"/>
    <w:multiLevelType w:val="hybridMultilevel"/>
    <w:tmpl w:val="9A2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2137D"/>
    <w:multiLevelType w:val="hybridMultilevel"/>
    <w:tmpl w:val="C2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94D20"/>
    <w:multiLevelType w:val="hybridMultilevel"/>
    <w:tmpl w:val="10D8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3291A"/>
    <w:multiLevelType w:val="hybridMultilevel"/>
    <w:tmpl w:val="1F6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D0FC5"/>
    <w:multiLevelType w:val="hybridMultilevel"/>
    <w:tmpl w:val="18AE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F24ED"/>
    <w:multiLevelType w:val="hybridMultilevel"/>
    <w:tmpl w:val="A50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B6F9C"/>
    <w:multiLevelType w:val="hybridMultilevel"/>
    <w:tmpl w:val="46B6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D52D9"/>
    <w:multiLevelType w:val="hybridMultilevel"/>
    <w:tmpl w:val="3F58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45F86"/>
    <w:multiLevelType w:val="hybridMultilevel"/>
    <w:tmpl w:val="BAA2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323CE"/>
    <w:multiLevelType w:val="hybridMultilevel"/>
    <w:tmpl w:val="B64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46CC8"/>
    <w:multiLevelType w:val="hybridMultilevel"/>
    <w:tmpl w:val="1D4E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1"/>
  </w:num>
  <w:num w:numId="4">
    <w:abstractNumId w:val="3"/>
  </w:num>
  <w:num w:numId="5">
    <w:abstractNumId w:val="10"/>
  </w:num>
  <w:num w:numId="6">
    <w:abstractNumId w:val="12"/>
  </w:num>
  <w:num w:numId="7">
    <w:abstractNumId w:val="13"/>
  </w:num>
  <w:num w:numId="8">
    <w:abstractNumId w:val="28"/>
  </w:num>
  <w:num w:numId="9">
    <w:abstractNumId w:val="17"/>
  </w:num>
  <w:num w:numId="10">
    <w:abstractNumId w:val="4"/>
  </w:num>
  <w:num w:numId="11">
    <w:abstractNumId w:val="27"/>
  </w:num>
  <w:num w:numId="12">
    <w:abstractNumId w:val="23"/>
  </w:num>
  <w:num w:numId="13">
    <w:abstractNumId w:val="22"/>
  </w:num>
  <w:num w:numId="14">
    <w:abstractNumId w:val="15"/>
  </w:num>
  <w:num w:numId="15">
    <w:abstractNumId w:val="19"/>
  </w:num>
  <w:num w:numId="16">
    <w:abstractNumId w:val="33"/>
  </w:num>
  <w:num w:numId="17">
    <w:abstractNumId w:val="11"/>
  </w:num>
  <w:num w:numId="18">
    <w:abstractNumId w:val="1"/>
  </w:num>
  <w:num w:numId="19">
    <w:abstractNumId w:val="5"/>
  </w:num>
  <w:num w:numId="20">
    <w:abstractNumId w:val="9"/>
  </w:num>
  <w:num w:numId="21">
    <w:abstractNumId w:val="7"/>
  </w:num>
  <w:num w:numId="22">
    <w:abstractNumId w:val="18"/>
  </w:num>
  <w:num w:numId="23">
    <w:abstractNumId w:val="16"/>
  </w:num>
  <w:num w:numId="24">
    <w:abstractNumId w:val="25"/>
  </w:num>
  <w:num w:numId="25">
    <w:abstractNumId w:val="8"/>
  </w:num>
  <w:num w:numId="26">
    <w:abstractNumId w:val="26"/>
  </w:num>
  <w:num w:numId="27">
    <w:abstractNumId w:val="31"/>
  </w:num>
  <w:num w:numId="28">
    <w:abstractNumId w:val="6"/>
  </w:num>
  <w:num w:numId="29">
    <w:abstractNumId w:val="32"/>
  </w:num>
  <w:num w:numId="30">
    <w:abstractNumId w:val="30"/>
  </w:num>
  <w:num w:numId="31">
    <w:abstractNumId w:val="14"/>
  </w:num>
  <w:num w:numId="32">
    <w:abstractNumId w:val="0"/>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5D"/>
    <w:rsid w:val="00024CBC"/>
    <w:rsid w:val="0006258F"/>
    <w:rsid w:val="00062BE9"/>
    <w:rsid w:val="00071C21"/>
    <w:rsid w:val="000720BE"/>
    <w:rsid w:val="000811E3"/>
    <w:rsid w:val="00085AD8"/>
    <w:rsid w:val="00085D8E"/>
    <w:rsid w:val="000B0635"/>
    <w:rsid w:val="000C1CA2"/>
    <w:rsid w:val="000C2774"/>
    <w:rsid w:val="000C430F"/>
    <w:rsid w:val="000D3554"/>
    <w:rsid w:val="000D4534"/>
    <w:rsid w:val="000F7011"/>
    <w:rsid w:val="001379A3"/>
    <w:rsid w:val="0019355B"/>
    <w:rsid w:val="001B060F"/>
    <w:rsid w:val="001B37BA"/>
    <w:rsid w:val="001F08BB"/>
    <w:rsid w:val="001F1220"/>
    <w:rsid w:val="00202C78"/>
    <w:rsid w:val="00214F5C"/>
    <w:rsid w:val="00244C66"/>
    <w:rsid w:val="00247B88"/>
    <w:rsid w:val="00266791"/>
    <w:rsid w:val="002713D4"/>
    <w:rsid w:val="00272B2D"/>
    <w:rsid w:val="0027457A"/>
    <w:rsid w:val="00275870"/>
    <w:rsid w:val="00281DC7"/>
    <w:rsid w:val="002932AB"/>
    <w:rsid w:val="00297A39"/>
    <w:rsid w:val="002A1227"/>
    <w:rsid w:val="002D515E"/>
    <w:rsid w:val="002E0FB9"/>
    <w:rsid w:val="002E50DA"/>
    <w:rsid w:val="00304625"/>
    <w:rsid w:val="0031469F"/>
    <w:rsid w:val="00320BD0"/>
    <w:rsid w:val="00323141"/>
    <w:rsid w:val="003325DD"/>
    <w:rsid w:val="00335D01"/>
    <w:rsid w:val="0034131A"/>
    <w:rsid w:val="0034172F"/>
    <w:rsid w:val="00341F9E"/>
    <w:rsid w:val="00342BED"/>
    <w:rsid w:val="003434C5"/>
    <w:rsid w:val="0035656B"/>
    <w:rsid w:val="00362B1C"/>
    <w:rsid w:val="00373E15"/>
    <w:rsid w:val="00375E19"/>
    <w:rsid w:val="00383CF7"/>
    <w:rsid w:val="0039167B"/>
    <w:rsid w:val="00393096"/>
    <w:rsid w:val="003A23C3"/>
    <w:rsid w:val="003B72FF"/>
    <w:rsid w:val="003C0253"/>
    <w:rsid w:val="003E3321"/>
    <w:rsid w:val="0042287F"/>
    <w:rsid w:val="00435A68"/>
    <w:rsid w:val="004539DB"/>
    <w:rsid w:val="00465010"/>
    <w:rsid w:val="00480FB2"/>
    <w:rsid w:val="004B2371"/>
    <w:rsid w:val="004F5FDB"/>
    <w:rsid w:val="00506818"/>
    <w:rsid w:val="00512433"/>
    <w:rsid w:val="00517FC7"/>
    <w:rsid w:val="005209F7"/>
    <w:rsid w:val="00522813"/>
    <w:rsid w:val="00536C14"/>
    <w:rsid w:val="00550CD1"/>
    <w:rsid w:val="00571D9A"/>
    <w:rsid w:val="00592C5A"/>
    <w:rsid w:val="005D238A"/>
    <w:rsid w:val="005E2FAA"/>
    <w:rsid w:val="0060427D"/>
    <w:rsid w:val="0061108D"/>
    <w:rsid w:val="0063552A"/>
    <w:rsid w:val="00641574"/>
    <w:rsid w:val="00642C04"/>
    <w:rsid w:val="00644910"/>
    <w:rsid w:val="006607B9"/>
    <w:rsid w:val="00670FC0"/>
    <w:rsid w:val="00676FA9"/>
    <w:rsid w:val="006C3954"/>
    <w:rsid w:val="006D6BCD"/>
    <w:rsid w:val="006F402C"/>
    <w:rsid w:val="006F6289"/>
    <w:rsid w:val="00702546"/>
    <w:rsid w:val="007042F3"/>
    <w:rsid w:val="00704BAD"/>
    <w:rsid w:val="00706542"/>
    <w:rsid w:val="00740FC5"/>
    <w:rsid w:val="00742021"/>
    <w:rsid w:val="0076389C"/>
    <w:rsid w:val="007A4BC1"/>
    <w:rsid w:val="007B3474"/>
    <w:rsid w:val="007B5F7B"/>
    <w:rsid w:val="007C343A"/>
    <w:rsid w:val="007E1BDE"/>
    <w:rsid w:val="008014B8"/>
    <w:rsid w:val="00804C2C"/>
    <w:rsid w:val="00807117"/>
    <w:rsid w:val="00810E97"/>
    <w:rsid w:val="00822A45"/>
    <w:rsid w:val="0082487C"/>
    <w:rsid w:val="00831C23"/>
    <w:rsid w:val="00841E6A"/>
    <w:rsid w:val="00846035"/>
    <w:rsid w:val="008A2EA4"/>
    <w:rsid w:val="008D2E75"/>
    <w:rsid w:val="009201A9"/>
    <w:rsid w:val="009322D0"/>
    <w:rsid w:val="00935EC5"/>
    <w:rsid w:val="009467D1"/>
    <w:rsid w:val="00951288"/>
    <w:rsid w:val="009575CC"/>
    <w:rsid w:val="00967979"/>
    <w:rsid w:val="00982DB2"/>
    <w:rsid w:val="00996869"/>
    <w:rsid w:val="009D57DF"/>
    <w:rsid w:val="009E7068"/>
    <w:rsid w:val="009F5992"/>
    <w:rsid w:val="00A144B9"/>
    <w:rsid w:val="00A15423"/>
    <w:rsid w:val="00A25121"/>
    <w:rsid w:val="00A26BBB"/>
    <w:rsid w:val="00A36B44"/>
    <w:rsid w:val="00A42346"/>
    <w:rsid w:val="00A647CB"/>
    <w:rsid w:val="00A75381"/>
    <w:rsid w:val="00A76C33"/>
    <w:rsid w:val="00AC414D"/>
    <w:rsid w:val="00AE52A6"/>
    <w:rsid w:val="00AF076C"/>
    <w:rsid w:val="00B03ED1"/>
    <w:rsid w:val="00B20363"/>
    <w:rsid w:val="00B3471B"/>
    <w:rsid w:val="00B43BDE"/>
    <w:rsid w:val="00B551D7"/>
    <w:rsid w:val="00B77D10"/>
    <w:rsid w:val="00B82AC9"/>
    <w:rsid w:val="00B83992"/>
    <w:rsid w:val="00B9107C"/>
    <w:rsid w:val="00BA6D9B"/>
    <w:rsid w:val="00BA6FD6"/>
    <w:rsid w:val="00BB61E6"/>
    <w:rsid w:val="00BC226C"/>
    <w:rsid w:val="00BD4B2E"/>
    <w:rsid w:val="00BD6395"/>
    <w:rsid w:val="00BD644E"/>
    <w:rsid w:val="00BE72DE"/>
    <w:rsid w:val="00BF1D00"/>
    <w:rsid w:val="00BF2FC4"/>
    <w:rsid w:val="00BF4AB3"/>
    <w:rsid w:val="00BF4C47"/>
    <w:rsid w:val="00C04074"/>
    <w:rsid w:val="00C2484E"/>
    <w:rsid w:val="00C454D7"/>
    <w:rsid w:val="00C52269"/>
    <w:rsid w:val="00C60254"/>
    <w:rsid w:val="00C660B6"/>
    <w:rsid w:val="00C718CB"/>
    <w:rsid w:val="00C7768D"/>
    <w:rsid w:val="00CC1D96"/>
    <w:rsid w:val="00CE6504"/>
    <w:rsid w:val="00D05494"/>
    <w:rsid w:val="00D47016"/>
    <w:rsid w:val="00D536AD"/>
    <w:rsid w:val="00D83880"/>
    <w:rsid w:val="00D87EDD"/>
    <w:rsid w:val="00DA33A3"/>
    <w:rsid w:val="00DA5D87"/>
    <w:rsid w:val="00DB29EA"/>
    <w:rsid w:val="00DB52ED"/>
    <w:rsid w:val="00DC2ECB"/>
    <w:rsid w:val="00DE39BA"/>
    <w:rsid w:val="00E34888"/>
    <w:rsid w:val="00E369D6"/>
    <w:rsid w:val="00E5082D"/>
    <w:rsid w:val="00E642B5"/>
    <w:rsid w:val="00E704E5"/>
    <w:rsid w:val="00E72BBA"/>
    <w:rsid w:val="00E81125"/>
    <w:rsid w:val="00E93994"/>
    <w:rsid w:val="00EB21B3"/>
    <w:rsid w:val="00EC5AD0"/>
    <w:rsid w:val="00EF54CE"/>
    <w:rsid w:val="00F3124D"/>
    <w:rsid w:val="00F34511"/>
    <w:rsid w:val="00F65D5D"/>
    <w:rsid w:val="00F70125"/>
    <w:rsid w:val="00F73346"/>
    <w:rsid w:val="00F91699"/>
    <w:rsid w:val="00F92532"/>
    <w:rsid w:val="00FA2764"/>
    <w:rsid w:val="00FC3C07"/>
    <w:rsid w:val="00FD1864"/>
    <w:rsid w:val="00FE0CE5"/>
    <w:rsid w:val="00FE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D259C"/>
  <w15:docId w15:val="{15847216-577A-4D02-A75B-17DCECE0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D5D"/>
    <w:pPr>
      <w:ind w:left="720"/>
      <w:contextualSpacing/>
    </w:pPr>
  </w:style>
  <w:style w:type="character" w:styleId="Hyperlink">
    <w:name w:val="Hyperlink"/>
    <w:basedOn w:val="DefaultParagraphFont"/>
    <w:uiPriority w:val="99"/>
    <w:unhideWhenUsed/>
    <w:rsid w:val="007E1BDE"/>
    <w:rPr>
      <w:color w:val="0000FF" w:themeColor="hyperlink"/>
      <w:u w:val="single"/>
    </w:rPr>
  </w:style>
  <w:style w:type="paragraph" w:styleId="BalloonText">
    <w:name w:val="Balloon Text"/>
    <w:basedOn w:val="Normal"/>
    <w:link w:val="BalloonTextChar"/>
    <w:uiPriority w:val="99"/>
    <w:semiHidden/>
    <w:unhideWhenUsed/>
    <w:rsid w:val="00453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9DB"/>
    <w:rPr>
      <w:rFonts w:ascii="Segoe UI" w:hAnsi="Segoe UI" w:cs="Segoe UI"/>
      <w:sz w:val="18"/>
      <w:szCs w:val="18"/>
    </w:rPr>
  </w:style>
  <w:style w:type="paragraph" w:styleId="Revision">
    <w:name w:val="Revision"/>
    <w:hidden/>
    <w:uiPriority w:val="99"/>
    <w:semiHidden/>
    <w:rsid w:val="00375E19"/>
    <w:pPr>
      <w:spacing w:after="0" w:line="240" w:lineRule="auto"/>
    </w:pPr>
  </w:style>
  <w:style w:type="paragraph" w:styleId="NormalWeb">
    <w:name w:val="Normal (Web)"/>
    <w:basedOn w:val="Normal"/>
    <w:uiPriority w:val="99"/>
    <w:unhideWhenUsed/>
    <w:rsid w:val="00FE0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0258">
      <w:bodyDiv w:val="1"/>
      <w:marLeft w:val="0"/>
      <w:marRight w:val="0"/>
      <w:marTop w:val="0"/>
      <w:marBottom w:val="0"/>
      <w:divBdr>
        <w:top w:val="none" w:sz="0" w:space="0" w:color="auto"/>
        <w:left w:val="none" w:sz="0" w:space="0" w:color="auto"/>
        <w:bottom w:val="none" w:sz="0" w:space="0" w:color="auto"/>
        <w:right w:val="none" w:sz="0" w:space="0" w:color="auto"/>
      </w:divBdr>
    </w:div>
    <w:div w:id="612858667">
      <w:bodyDiv w:val="1"/>
      <w:marLeft w:val="0"/>
      <w:marRight w:val="0"/>
      <w:marTop w:val="0"/>
      <w:marBottom w:val="0"/>
      <w:divBdr>
        <w:top w:val="none" w:sz="0" w:space="0" w:color="auto"/>
        <w:left w:val="none" w:sz="0" w:space="0" w:color="auto"/>
        <w:bottom w:val="none" w:sz="0" w:space="0" w:color="auto"/>
        <w:right w:val="none" w:sz="0" w:space="0" w:color="auto"/>
      </w:divBdr>
    </w:div>
    <w:div w:id="1257908269">
      <w:bodyDiv w:val="1"/>
      <w:marLeft w:val="0"/>
      <w:marRight w:val="0"/>
      <w:marTop w:val="0"/>
      <w:marBottom w:val="0"/>
      <w:divBdr>
        <w:top w:val="none" w:sz="0" w:space="0" w:color="auto"/>
        <w:left w:val="none" w:sz="0" w:space="0" w:color="auto"/>
        <w:bottom w:val="none" w:sz="0" w:space="0" w:color="auto"/>
        <w:right w:val="none" w:sz="0" w:space="0" w:color="auto"/>
      </w:divBdr>
    </w:div>
    <w:div w:id="13396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Chew, Julie</dc:creator>
  <cp:lastModifiedBy>Julie Chew</cp:lastModifiedBy>
  <cp:revision>6</cp:revision>
  <dcterms:created xsi:type="dcterms:W3CDTF">2019-10-24T21:30:00Z</dcterms:created>
  <dcterms:modified xsi:type="dcterms:W3CDTF">2019-10-25T15:57:00Z</dcterms:modified>
</cp:coreProperties>
</file>